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rPr>
      </w:pPr>
      <w:r>
        <w:rPr>
          <w:rFonts w:hint="eastAsia" w:ascii="黑体" w:hAnsi="黑体" w:eastAsia="黑体" w:cs="黑体"/>
        </w:rPr>
        <w:t>景德镇市</w:t>
      </w:r>
      <w:r>
        <w:rPr>
          <w:rFonts w:hint="eastAsia" w:ascii="黑体" w:hAnsi="黑体" w:eastAsia="黑体" w:cs="黑体"/>
          <w:lang w:eastAsia="zh-CN"/>
        </w:rPr>
        <w:t>高岭瑶里风景名胜区管理委员会</w:t>
      </w:r>
      <w:r>
        <w:rPr>
          <w:rFonts w:hint="eastAsia" w:ascii="黑体" w:hAnsi="黑体" w:eastAsia="黑体" w:cs="黑体"/>
          <w:lang w:val="en-US" w:eastAsia="zh-CN"/>
        </w:rPr>
        <w:t>2020</w:t>
      </w:r>
      <w:r>
        <w:rPr>
          <w:rFonts w:hint="eastAsia" w:ascii="黑体" w:hAnsi="黑体" w:eastAsia="黑体" w:cs="黑体"/>
        </w:rPr>
        <w:t>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黑体" w:eastAsia="黑体" w:cs="黑体"/>
          <w:sz w:val="32"/>
          <w:szCs w:val="32"/>
          <w:lang w:eastAsia="zh-CN"/>
        </w:rPr>
        <w:t>高岭瑶里风景名胜区管理委员会</w:t>
      </w:r>
      <w:r>
        <w:rPr>
          <w:rFonts w:hint="eastAsia" w:ascii="黑体" w:hAnsi="宋体" w:eastAsia="黑体" w:cs="黑体"/>
          <w:sz w:val="32"/>
          <w:szCs w:val="32"/>
        </w:rPr>
        <w:t>局概况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黑体" w:eastAsia="黑体" w:cs="黑体"/>
          <w:sz w:val="32"/>
          <w:szCs w:val="32"/>
          <w:lang w:eastAsia="zh-CN"/>
        </w:rPr>
        <w:t>高岭瑶里风景名胜区管理委员会</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年部门预算收支情况说明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lang w:eastAsia="zh-CN"/>
        </w:rPr>
        <w:t>景德镇市</w:t>
      </w:r>
      <w:r>
        <w:rPr>
          <w:rFonts w:hint="eastAsia" w:ascii="黑体" w:hAnsi="黑体" w:eastAsia="黑体" w:cs="黑体"/>
          <w:sz w:val="32"/>
          <w:szCs w:val="32"/>
          <w:lang w:eastAsia="zh-CN"/>
        </w:rPr>
        <w:t>高岭瑶里风景名胜区管理委员会</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jc w:val="both"/>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黑体" w:eastAsia="黑体" w:cs="黑体"/>
          <w:sz w:val="32"/>
          <w:szCs w:val="32"/>
          <w:lang w:eastAsia="zh-CN"/>
        </w:rPr>
        <w:t>高岭瑶里风景名胜区管理委员会</w:t>
      </w:r>
      <w:r>
        <w:rPr>
          <w:rFonts w:hint="eastAsia" w:ascii="黑体" w:hAnsi="宋体" w:eastAsia="黑体" w:cs="黑体"/>
          <w:sz w:val="32"/>
          <w:szCs w:val="32"/>
        </w:rPr>
        <w:t>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ind w:firstLine="480" w:firstLineChars="150"/>
        <w:rPr>
          <w:rFonts w:hint="eastAsia" w:ascii="仿宋" w:hAnsi="仿宋" w:eastAsia="仿宋" w:cs="仿宋"/>
          <w:sz w:val="32"/>
          <w:szCs w:val="32"/>
        </w:rPr>
      </w:pPr>
      <w:r>
        <w:rPr>
          <w:rFonts w:hint="eastAsia" w:ascii="仿宋" w:hAnsi="仿宋" w:eastAsia="仿宋" w:cs="仿宋"/>
          <w:sz w:val="32"/>
          <w:szCs w:val="32"/>
        </w:rPr>
        <w:t>负责贯彻执行国家有关风景名胜区管理的法律法规；拟订高岭－瑶里风景名胜区和其他景区的生态保护管理的政策并组织实施；负责编制并组织实施风景区旅游产业发展规划；加大基础设施建设，完善景区功能，合理开发利用风景名胜资源，组织开展旅游宣传促销；制定招商引资政策，大力招商引资，打造景区品牌；将浮梁县的高岭－瑶里风景名胜区、浯溪口水库景区、金竹山寨、古县衙、江村严台、沧溪古村落、宝积寺、皇窑等景区集中成片，统一管理和经营。</w:t>
      </w:r>
    </w:p>
    <w:p>
      <w:pPr>
        <w:pStyle w:val="10"/>
        <w:numPr>
          <w:ilvl w:val="0"/>
          <w:numId w:val="1"/>
        </w:numPr>
        <w:ind w:firstLineChars="0"/>
        <w:rPr>
          <w:rFonts w:ascii="宋体" w:hAnsi="宋体"/>
          <w:b/>
          <w:sz w:val="32"/>
          <w:szCs w:val="32"/>
        </w:rPr>
      </w:pPr>
      <w:r>
        <w:rPr>
          <w:rFonts w:hint="eastAsia" w:ascii="宋体" w:hAnsi="宋体"/>
          <w:b/>
          <w:sz w:val="32"/>
          <w:szCs w:val="32"/>
        </w:rPr>
        <w:t>部门基本情况</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纳入本套部门预算单位共 1 个，景德镇市高岭瑶里风景名胜区管理委员会本级。编制人数 20人，全额补助事业编制 20 人；年末实有人数18人，其中在职人员</w:t>
      </w:r>
      <w:r>
        <w:rPr>
          <w:rFonts w:hint="eastAsia" w:ascii="仿宋" w:hAnsi="仿宋" w:eastAsia="仿宋" w:cs="仿宋"/>
          <w:sz w:val="32"/>
          <w:szCs w:val="32"/>
          <w:lang w:val="en-US" w:eastAsia="zh-CN"/>
        </w:rPr>
        <w:t>10</w:t>
      </w:r>
      <w:r>
        <w:rPr>
          <w:rFonts w:hint="eastAsia" w:ascii="仿宋" w:hAnsi="仿宋" w:eastAsia="仿宋" w:cs="仿宋"/>
          <w:sz w:val="32"/>
          <w:szCs w:val="32"/>
        </w:rPr>
        <w:t>人，全额补助事业人员</w:t>
      </w:r>
      <w:r>
        <w:rPr>
          <w:rFonts w:hint="eastAsia" w:ascii="仿宋" w:hAnsi="仿宋" w:eastAsia="仿宋" w:cs="仿宋"/>
          <w:sz w:val="32"/>
          <w:szCs w:val="32"/>
          <w:lang w:val="en-US" w:eastAsia="zh-CN"/>
        </w:rPr>
        <w:t>10</w:t>
      </w:r>
      <w:r>
        <w:rPr>
          <w:rFonts w:hint="eastAsia" w:ascii="仿宋" w:hAnsi="仿宋" w:eastAsia="仿宋" w:cs="仿宋"/>
          <w:sz w:val="32"/>
          <w:szCs w:val="32"/>
        </w:rPr>
        <w:t>人，其他人员</w:t>
      </w:r>
      <w:r>
        <w:rPr>
          <w:rFonts w:hint="eastAsia" w:ascii="仿宋" w:hAnsi="仿宋" w:eastAsia="仿宋" w:cs="仿宋"/>
          <w:sz w:val="32"/>
          <w:szCs w:val="32"/>
          <w:lang w:val="en-US" w:eastAsia="zh-CN"/>
        </w:rPr>
        <w:t>8</w:t>
      </w:r>
      <w:r>
        <w:rPr>
          <w:rFonts w:hint="eastAsia" w:ascii="仿宋" w:hAnsi="仿宋" w:eastAsia="仿宋" w:cs="仿宋"/>
          <w:sz w:val="32"/>
          <w:szCs w:val="32"/>
        </w:rPr>
        <w:t>人，离休人员0人，退休人员0人；年末学生人数0人。</w:t>
      </w:r>
    </w:p>
    <w:p>
      <w:pPr>
        <w:jc w:val="both"/>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黑体" w:eastAsia="黑体" w:cs="黑体"/>
          <w:sz w:val="32"/>
          <w:szCs w:val="32"/>
          <w:lang w:eastAsia="zh-CN"/>
        </w:rPr>
        <w:t>高岭瑶里风景名胜区管理委员会</w:t>
      </w:r>
      <w:r>
        <w:rPr>
          <w:rFonts w:hint="eastAsia" w:ascii="黑体" w:hAnsi="宋体" w:eastAsia="黑体" w:cs="黑体"/>
          <w:sz w:val="32"/>
          <w:szCs w:val="32"/>
          <w:lang w:val="en-US" w:eastAsia="zh-CN"/>
        </w:rPr>
        <w:t>2020年</w:t>
      </w:r>
      <w:r>
        <w:rPr>
          <w:rFonts w:hint="eastAsia" w:ascii="黑体" w:hAnsi="宋体" w:eastAsia="黑体" w:cs="黑体"/>
          <w:sz w:val="32"/>
          <w:szCs w:val="32"/>
        </w:rPr>
        <w:t>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ascii="仿宋_GB2312" w:eastAsia="仿宋_GB2312" w:cs="Times New Roman"/>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景德镇市高岭瑶里风景名胜区管理委员会</w:t>
      </w:r>
      <w:r>
        <w:rPr>
          <w:rFonts w:hint="eastAsia" w:ascii="仿宋_GB2312" w:hAnsi="宋体" w:eastAsia="仿宋_GB2312" w:cs="仿宋_GB2312"/>
          <w:sz w:val="32"/>
          <w:szCs w:val="32"/>
        </w:rPr>
        <w:t>收入预算总额为</w:t>
      </w:r>
      <w:r>
        <w:rPr>
          <w:rFonts w:hint="eastAsia" w:ascii="仿宋_GB2312" w:hAnsi="宋体" w:eastAsia="仿宋_GB2312" w:cs="仿宋_GB2312"/>
          <w:sz w:val="32"/>
          <w:szCs w:val="32"/>
          <w:lang w:val="en-US" w:eastAsia="zh-CN"/>
        </w:rPr>
        <w:t>216.23</w:t>
      </w:r>
      <w:r>
        <w:rPr>
          <w:rFonts w:hint="eastAsia" w:ascii="仿宋_GB2312" w:hAnsi="宋体" w:eastAsia="仿宋_GB2312" w:cs="仿宋_GB2312"/>
          <w:sz w:val="32"/>
          <w:szCs w:val="32"/>
        </w:rPr>
        <w:t>万元，与上年预算相比增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64.35万元，增加的原因为本年度调入人员增加预算收入。</w:t>
      </w:r>
      <w:r>
        <w:rPr>
          <w:rFonts w:hint="eastAsia" w:ascii="仿宋_GB2312" w:hAnsi="宋体" w:eastAsia="仿宋_GB2312" w:cs="仿宋_GB2312"/>
          <w:sz w:val="32"/>
          <w:szCs w:val="32"/>
        </w:rPr>
        <w:t>其中：当年公共财政拨款收入</w:t>
      </w:r>
      <w:r>
        <w:rPr>
          <w:rFonts w:hint="eastAsia" w:ascii="仿宋_GB2312" w:hAnsi="宋体" w:eastAsia="仿宋_GB2312" w:cs="仿宋_GB2312"/>
          <w:sz w:val="32"/>
          <w:szCs w:val="32"/>
          <w:lang w:val="en-US" w:eastAsia="zh-CN"/>
        </w:rPr>
        <w:t>206.23</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95.38</w:t>
      </w:r>
      <w:r>
        <w:rPr>
          <w:rFonts w:ascii="仿宋_GB2312" w:hAnsi="宋体" w:eastAsia="仿宋_GB2312" w:cs="仿宋_GB2312"/>
          <w:sz w:val="32"/>
          <w:szCs w:val="32"/>
        </w:rPr>
        <w:t>%</w:t>
      </w:r>
      <w:r>
        <w:rPr>
          <w:rFonts w:hint="eastAsia" w:ascii="仿宋_GB2312" w:hAnsi="宋体" w:eastAsia="仿宋_GB2312" w:cs="仿宋_GB2312"/>
          <w:sz w:val="32"/>
          <w:szCs w:val="32"/>
        </w:rPr>
        <w:t>；政府性基金拨款收入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；事业收入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；事业单位经营收入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；当年其他各项收入</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；上年结余结转收入</w:t>
      </w:r>
      <w:r>
        <w:rPr>
          <w:rFonts w:hint="eastAsia" w:ascii="仿宋_GB2312" w:hAnsi="宋体" w:eastAsia="仿宋_GB2312" w:cs="仿宋_GB2312"/>
          <w:sz w:val="32"/>
          <w:szCs w:val="32"/>
          <w:lang w:val="en-US" w:eastAsia="zh-CN"/>
        </w:rPr>
        <w:t>10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4.62</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景德镇市高岭瑶里风景名胜区管理委员会</w:t>
      </w:r>
      <w:r>
        <w:rPr>
          <w:rFonts w:hint="eastAsia" w:ascii="仿宋_GB2312" w:hAnsi="宋体" w:eastAsia="仿宋_GB2312" w:cs="仿宋_GB2312"/>
          <w:sz w:val="32"/>
          <w:szCs w:val="32"/>
        </w:rPr>
        <w:t>支出预算总额为</w:t>
      </w:r>
      <w:r>
        <w:rPr>
          <w:rFonts w:hint="eastAsia" w:ascii="仿宋_GB2312" w:hAnsi="宋体" w:eastAsia="仿宋_GB2312" w:cs="仿宋_GB2312"/>
          <w:sz w:val="32"/>
          <w:szCs w:val="32"/>
          <w:lang w:val="en-US" w:eastAsia="zh-CN"/>
        </w:rPr>
        <w:t>216.23</w:t>
      </w:r>
      <w:r>
        <w:rPr>
          <w:rFonts w:hint="eastAsia" w:ascii="仿宋_GB2312" w:hAnsi="宋体" w:eastAsia="仿宋_GB2312" w:cs="仿宋_GB2312"/>
          <w:sz w:val="32"/>
          <w:szCs w:val="32"/>
        </w:rPr>
        <w:t>万元，与上年预算相比增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64.35万元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增加的原因为本年度调入人员增加预算支出</w:t>
      </w:r>
      <w:r>
        <w:rPr>
          <w:rFonts w:hint="eastAsia" w:ascii="仿宋_GB2312" w:hAnsi="宋体" w:eastAsia="仿宋_GB2312" w:cs="仿宋_GB2312"/>
          <w:sz w:val="32"/>
          <w:szCs w:val="32"/>
        </w:rPr>
        <w:t>。其中：按支出项目类别划分：基本支出</w:t>
      </w:r>
      <w:r>
        <w:rPr>
          <w:rFonts w:hint="eastAsia" w:ascii="仿宋_GB2312" w:hAnsi="宋体" w:eastAsia="仿宋_GB2312" w:cs="仿宋_GB2312"/>
          <w:sz w:val="32"/>
          <w:szCs w:val="32"/>
          <w:lang w:val="en-US" w:eastAsia="zh-CN"/>
        </w:rPr>
        <w:t>151.23</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69.94</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131.4</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19.83</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万元；项目支出</w:t>
      </w:r>
      <w:r>
        <w:rPr>
          <w:rFonts w:hint="eastAsia" w:ascii="仿宋_GB2312" w:hAnsi="宋体" w:eastAsia="仿宋_GB2312" w:cs="仿宋_GB2312"/>
          <w:sz w:val="32"/>
          <w:szCs w:val="32"/>
          <w:lang w:val="en-US" w:eastAsia="zh-CN"/>
        </w:rPr>
        <w:t>65</w:t>
      </w:r>
      <w:r>
        <w:rPr>
          <w:rFonts w:hint="eastAsia" w:ascii="仿宋_GB2312" w:hAnsi="宋体" w:eastAsia="仿宋_GB2312" w:cs="仿宋_GB2312"/>
          <w:sz w:val="32"/>
          <w:szCs w:val="32"/>
        </w:rPr>
        <w:t>万元，占支出总额的</w:t>
      </w:r>
      <w:r>
        <w:rPr>
          <w:rFonts w:hint="eastAsia" w:ascii="仿宋_GB2312" w:hAnsi="宋体" w:eastAsia="仿宋_GB2312" w:cs="仿宋_GB2312"/>
          <w:sz w:val="32"/>
          <w:szCs w:val="32"/>
          <w:lang w:val="en-US" w:eastAsia="zh-CN"/>
        </w:rPr>
        <w:t>30.06</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65</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万元、债务利息支出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万元、基本建设支出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万元、其他资本性支出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万元、其他相关支出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万元；事业经营支出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；对附属单位补助支出的</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；上缴上级支出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ind w:firstLine="640" w:firstLineChars="200"/>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rPr>
        <w:t>按支出功能项目科目划分：一般公共服务</w:t>
      </w:r>
      <w:r>
        <w:rPr>
          <w:rFonts w:hint="eastAsia" w:ascii="仿宋_GB2312" w:hAnsi="宋体" w:eastAsia="仿宋_GB2312" w:cs="仿宋_GB2312"/>
          <w:sz w:val="32"/>
          <w:szCs w:val="32"/>
          <w:lang w:val="en-US" w:eastAsia="zh-CN"/>
        </w:rPr>
        <w:t>216.23</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100</w:t>
      </w:r>
      <w:r>
        <w:rPr>
          <w:rFonts w:ascii="仿宋_GB2312" w:hAnsi="宋体" w:eastAsia="仿宋_GB2312" w:cs="仿宋_GB2312"/>
          <w:sz w:val="32"/>
          <w:szCs w:val="32"/>
        </w:rPr>
        <w:t>%</w:t>
      </w:r>
      <w:r>
        <w:rPr>
          <w:rFonts w:hint="eastAsia" w:ascii="仿宋_GB2312" w:hAnsi="宋体" w:eastAsia="仿宋_GB2312" w:cs="仿宋_GB2312"/>
          <w:sz w:val="32"/>
          <w:szCs w:val="32"/>
        </w:rPr>
        <w:t>；公共安全支出</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0</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其中：文化旅游体育与传媒支出</w:t>
      </w:r>
      <w:r>
        <w:rPr>
          <w:rFonts w:hint="eastAsia" w:ascii="仿宋_GB2312" w:hAnsi="宋体" w:eastAsia="仿宋_GB2312" w:cs="仿宋_GB2312"/>
          <w:sz w:val="32"/>
          <w:szCs w:val="32"/>
          <w:lang w:val="en-US" w:eastAsia="zh-CN"/>
        </w:rPr>
        <w:t>193.21万元，占支出预算总额的89.35%；社会保障和就业支出9.77万元，占支出预算总额的4.52%；卫生健康支出5.92万元，占支出预算总额的2.74%；住房保障支出7.33万元，占支出预算总额的3.39%。</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按支出经济分类划分：</w:t>
      </w:r>
      <w:r>
        <w:rPr>
          <w:rFonts w:hint="eastAsia" w:ascii="仿宋_GB2312" w:hAnsi="宋体" w:eastAsia="仿宋_GB2312" w:cs="仿宋_GB2312"/>
          <w:sz w:val="32"/>
          <w:szCs w:val="32"/>
          <w:lang w:eastAsia="zh-CN"/>
        </w:rPr>
        <w:t>基本支出</w:t>
      </w:r>
      <w:r>
        <w:rPr>
          <w:rFonts w:hint="eastAsia" w:ascii="仿宋_GB2312" w:hAnsi="宋体" w:eastAsia="仿宋_GB2312" w:cs="仿宋_GB2312"/>
          <w:sz w:val="32"/>
          <w:szCs w:val="32"/>
          <w:lang w:val="en-US" w:eastAsia="zh-CN"/>
        </w:rPr>
        <w:t>151.23万元，</w:t>
      </w:r>
      <w:r>
        <w:rPr>
          <w:rFonts w:hint="eastAsia" w:ascii="仿宋_GB2312" w:hAnsi="宋体" w:eastAsia="仿宋_GB2312" w:cs="仿宋_GB2312"/>
          <w:sz w:val="32"/>
          <w:szCs w:val="32"/>
        </w:rPr>
        <w:t>工资福利支出</w:t>
      </w:r>
      <w:r>
        <w:rPr>
          <w:rFonts w:hint="eastAsia" w:ascii="仿宋_GB2312" w:hAnsi="宋体" w:eastAsia="仿宋_GB2312" w:cs="仿宋_GB2312"/>
          <w:sz w:val="32"/>
          <w:szCs w:val="32"/>
          <w:lang w:val="en-US" w:eastAsia="zh-CN"/>
        </w:rPr>
        <w:t>131.4</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60.77</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19.83</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9.17</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，项目支出</w:t>
      </w:r>
      <w:r>
        <w:rPr>
          <w:rFonts w:hint="eastAsia" w:ascii="仿宋_GB2312" w:hAnsi="宋体" w:eastAsia="仿宋_GB2312" w:cs="仿宋_GB2312"/>
          <w:sz w:val="32"/>
          <w:szCs w:val="32"/>
          <w:lang w:val="en-US" w:eastAsia="zh-CN"/>
        </w:rPr>
        <w:t>65万元，商品和服务支出65万元，占支出预算总额30.06%。</w:t>
      </w:r>
    </w:p>
    <w:p>
      <w:pPr>
        <w:widowControl/>
        <w:spacing w:line="600" w:lineRule="exact"/>
        <w:ind w:firstLine="640"/>
        <w:jc w:val="left"/>
        <w:rPr>
          <w:rFonts w:hint="eastAsia"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ind w:firstLine="640" w:firstLineChars="200"/>
        <w:rPr>
          <w:rFonts w:hint="eastAsia" w:ascii="仿宋_GB2312" w:hAnsi="宋体" w:eastAsia="仿宋_GB2312" w:cs="仿宋_GB2312"/>
          <w:sz w:val="32"/>
          <w:szCs w:val="32"/>
          <w:lang w:val="en-US" w:eastAsia="zh-CN"/>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景德镇市高岭瑶里风景名胜区管理委员会财政拨款</w:t>
      </w:r>
      <w:r>
        <w:rPr>
          <w:rFonts w:hint="eastAsia" w:ascii="仿宋_GB2312" w:hAnsi="宋体" w:eastAsia="仿宋_GB2312" w:cs="仿宋_GB2312"/>
          <w:sz w:val="32"/>
          <w:szCs w:val="32"/>
        </w:rPr>
        <w:t>支出预算</w:t>
      </w:r>
      <w:r>
        <w:rPr>
          <w:rFonts w:hint="eastAsia" w:ascii="仿宋_GB2312" w:hAnsi="宋体" w:eastAsia="仿宋_GB2312" w:cs="仿宋_GB2312"/>
          <w:sz w:val="32"/>
          <w:szCs w:val="32"/>
          <w:lang w:val="en-US" w:eastAsia="zh-CN"/>
        </w:rPr>
        <w:t>206.23</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95.38</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，与上年预算相比增</w:t>
      </w:r>
      <w:r>
        <w:rPr>
          <w:rFonts w:hint="eastAsia" w:ascii="仿宋_GB2312" w:hAnsi="宋体" w:eastAsia="仿宋_GB2312" w:cs="仿宋_GB2312"/>
          <w:sz w:val="32"/>
          <w:szCs w:val="32"/>
          <w:lang w:eastAsia="zh-CN"/>
        </w:rPr>
        <w:t>加</w:t>
      </w:r>
      <w:r>
        <w:rPr>
          <w:rFonts w:hint="eastAsia" w:ascii="仿宋_GB2312" w:hAnsi="宋体" w:eastAsia="仿宋_GB2312" w:cs="仿宋_GB2312"/>
          <w:sz w:val="32"/>
          <w:szCs w:val="32"/>
          <w:lang w:val="en-US" w:eastAsia="zh-CN"/>
        </w:rPr>
        <w:t>76.36万元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增加的原因为本年度调入人员增加预算收入。</w:t>
      </w:r>
    </w:p>
    <w:p>
      <w:pPr>
        <w:ind w:firstLine="640" w:firstLineChars="200"/>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rPr>
        <w:t>按支出功能项目科目划分</w:t>
      </w:r>
      <w:r>
        <w:rPr>
          <w:rFonts w:hint="eastAsia" w:ascii="仿宋_GB2312" w:hAnsi="宋体" w:eastAsia="仿宋_GB2312" w:cs="仿宋_GB2312"/>
          <w:sz w:val="32"/>
          <w:szCs w:val="32"/>
          <w:lang w:eastAsia="zh-CN"/>
        </w:rPr>
        <w:t>：文化旅游体育与传媒支出</w:t>
      </w:r>
      <w:r>
        <w:rPr>
          <w:rFonts w:hint="eastAsia" w:ascii="仿宋_GB2312" w:hAnsi="宋体" w:eastAsia="仿宋_GB2312" w:cs="仿宋_GB2312"/>
          <w:sz w:val="32"/>
          <w:szCs w:val="32"/>
          <w:lang w:val="en-US" w:eastAsia="zh-CN"/>
        </w:rPr>
        <w:t>183.21万元，占支出预算总额的88.84%；社会保障和就业支出9.77万元，占支出预算总额的4.74%；卫生健康支出5.92万元，占支出预算总额的2.87%；住房保障支出7.33万元，占支出预算总额的3.55%。</w:t>
      </w:r>
    </w:p>
    <w:p>
      <w:pPr>
        <w:numPr>
          <w:ilvl w:val="0"/>
          <w:numId w:val="2"/>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tabs>
          <w:tab w:val="left" w:pos="1162"/>
        </w:tabs>
        <w:ind w:left="420" w:leftChars="200" w:firstLine="320" w:firstLineChars="1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无政府采购预算</w:t>
      </w:r>
    </w:p>
    <w:p>
      <w:pPr>
        <w:tabs>
          <w:tab w:val="left" w:pos="1162"/>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tabs>
          <w:tab w:val="left" w:pos="1113"/>
        </w:tabs>
        <w:ind w:firstLine="640" w:firstLineChars="200"/>
        <w:rPr>
          <w:rFonts w:hint="eastAsia" w:ascii="仿宋_GB2312" w:hAnsi="宋体" w:eastAsia="仿宋_GB2312" w:cs="仿宋_GB2312"/>
          <w:color w:val="auto"/>
          <w:sz w:val="32"/>
          <w:szCs w:val="32"/>
          <w:lang w:eastAsia="zh-CN"/>
        </w:rPr>
      </w:pPr>
      <w:r>
        <w:rPr>
          <w:rFonts w:hint="eastAsia" w:ascii="仿宋_GB2312" w:hAnsi="宋体" w:eastAsia="仿宋_GB2312" w:cs="仿宋_GB2312"/>
          <w:color w:val="auto"/>
          <w:sz w:val="32"/>
          <w:szCs w:val="32"/>
          <w:lang w:eastAsia="zh-CN"/>
        </w:rPr>
        <w:t>无政府基金收支</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lang w:eastAsia="zh-CN"/>
        </w:rPr>
        <w:t>（六）</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年“三公”经费预算情况说明</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景德镇市高岭瑶里风景名胜区管理委员会</w:t>
      </w:r>
      <w:r>
        <w:rPr>
          <w:rFonts w:hint="eastAsia" w:ascii="仿宋_GB2312" w:hAnsi="宋体" w:eastAsia="仿宋_GB2312" w:cs="仿宋_GB2312"/>
          <w:sz w:val="32"/>
          <w:szCs w:val="32"/>
        </w:rPr>
        <w:t>“三公”经费年初预算安排</w:t>
      </w:r>
      <w:r>
        <w:rPr>
          <w:rFonts w:hint="eastAsia" w:ascii="仿宋_GB2312" w:hAnsi="宋体" w:eastAsia="仿宋_GB2312" w:cs="仿宋_GB2312"/>
          <w:sz w:val="32"/>
          <w:szCs w:val="32"/>
          <w:lang w:val="en-US" w:eastAsia="zh-CN"/>
        </w:rPr>
        <w:t>2</w:t>
      </w:r>
      <w:r>
        <w:rPr>
          <w:rFonts w:hint="eastAsia" w:ascii="仿宋_GB2312" w:hAnsi="宋体" w:eastAsia="仿宋_GB2312" w:cs="仿宋_GB2312"/>
          <w:sz w:val="32"/>
          <w:szCs w:val="32"/>
        </w:rPr>
        <w:t>万元。其中：</w:t>
      </w:r>
      <w:r>
        <w:rPr>
          <w:rFonts w:hint="eastAsia" w:ascii="仿宋_GB2312" w:hAnsi="宋体" w:eastAsia="仿宋_GB2312" w:cs="仿宋_GB2312"/>
          <w:sz w:val="32"/>
          <w:szCs w:val="32"/>
          <w:lang w:eastAsia="zh-CN"/>
        </w:rPr>
        <w:t>公务接待费</w:t>
      </w:r>
      <w:r>
        <w:rPr>
          <w:rFonts w:hint="eastAsia" w:ascii="仿宋_GB2312" w:hAnsi="宋体" w:eastAsia="仿宋_GB2312" w:cs="仿宋_GB2312"/>
          <w:sz w:val="32"/>
          <w:szCs w:val="32"/>
          <w:lang w:val="en-US" w:eastAsia="zh-CN"/>
        </w:rPr>
        <w:t>2万元，与上年相比减少2万元，减少原因为项目支出中公务接待减少2万元。</w:t>
      </w:r>
    </w:p>
    <w:p>
      <w:pPr>
        <w:jc w:val="both"/>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仿宋_GB2312" w:hAnsi="宋体" w:eastAsia="仿宋_GB2312" w:cs="仿宋_GB2312"/>
          <w:b/>
          <w:bCs/>
          <w:sz w:val="32"/>
          <w:szCs w:val="32"/>
          <w:lang w:eastAsia="zh-CN"/>
        </w:rPr>
        <w:t>高岭瑶里风景名胜区管理委员会</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drawing>
          <wp:inline distT="0" distB="0" distL="114300" distR="114300">
            <wp:extent cx="5269230" cy="2527935"/>
            <wp:effectExtent l="0" t="0" r="7620" b="5715"/>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
                    <pic:cNvPicPr>
                      <a:picLocks noChangeAspect="1"/>
                    </pic:cNvPicPr>
                  </pic:nvPicPr>
                  <pic:blipFill>
                    <a:blip r:embed="rId5"/>
                    <a:stretch>
                      <a:fillRect/>
                    </a:stretch>
                  </pic:blipFill>
                  <pic:spPr>
                    <a:xfrm>
                      <a:off x="0" y="0"/>
                      <a:ext cx="5269230" cy="2527935"/>
                    </a:xfrm>
                    <a:prstGeom prst="rect">
                      <a:avLst/>
                    </a:prstGeom>
                  </pic:spPr>
                </pic:pic>
              </a:graphicData>
            </a:graphic>
          </wp:inline>
        </w:drawing>
      </w:r>
    </w:p>
    <w:p>
      <w:pPr>
        <w:rPr>
          <w:rFonts w:hint="eastAsia" w:ascii="仿宋_GB2312" w:hAnsi="宋体" w:eastAsia="仿宋_GB2312" w:cs="仿宋_GB2312"/>
          <w:sz w:val="32"/>
          <w:szCs w:val="32"/>
          <w:shd w:val="clear" w:color="FFFFFF" w:fill="D9D9D9"/>
          <w:lang w:val="en-US" w:eastAsia="zh-CN"/>
        </w:rPr>
      </w:pPr>
      <w:r>
        <w:rPr>
          <w:rFonts w:hint="eastAsia" w:ascii="仿宋_GB2312" w:hAnsi="宋体" w:eastAsia="仿宋_GB2312" w:cs="仿宋_GB2312"/>
          <w:sz w:val="32"/>
          <w:szCs w:val="32"/>
          <w:shd w:val="clear" w:color="FFFFFF" w:fill="D9D9D9"/>
          <w:lang w:val="en-US" w:eastAsia="zh-CN"/>
        </w:rPr>
        <w:drawing>
          <wp:inline distT="0" distB="0" distL="114300" distR="114300">
            <wp:extent cx="5264785" cy="2157730"/>
            <wp:effectExtent l="0" t="0" r="12065" b="13970"/>
            <wp:docPr id="1" name="图片 1" descr="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01"/>
                    <pic:cNvPicPr>
                      <a:picLocks noChangeAspect="1"/>
                    </pic:cNvPicPr>
                  </pic:nvPicPr>
                  <pic:blipFill>
                    <a:blip r:embed="rId6"/>
                    <a:stretch>
                      <a:fillRect/>
                    </a:stretch>
                  </pic:blipFill>
                  <pic:spPr>
                    <a:xfrm>
                      <a:off x="0" y="0"/>
                      <a:ext cx="5264785" cy="2157730"/>
                    </a:xfrm>
                    <a:prstGeom prst="rect">
                      <a:avLst/>
                    </a:prstGeom>
                  </pic:spPr>
                </pic:pic>
              </a:graphicData>
            </a:graphic>
          </wp:inline>
        </w:drawing>
      </w:r>
      <w:r>
        <w:rPr>
          <w:rFonts w:hint="eastAsia" w:ascii="仿宋_GB2312" w:hAnsi="宋体" w:eastAsia="仿宋_GB2312" w:cs="仿宋_GB2312"/>
          <w:sz w:val="32"/>
          <w:szCs w:val="32"/>
          <w:shd w:val="clear" w:color="FFFFFF" w:fill="D9D9D9"/>
          <w:lang w:val="en-US" w:eastAsia="zh-CN"/>
        </w:rPr>
        <w:t xml:space="preserve"> </w:t>
      </w:r>
      <w:r>
        <w:rPr>
          <w:rFonts w:hint="eastAsia" w:ascii="仿宋_GB2312" w:hAnsi="宋体" w:eastAsia="仿宋_GB2312" w:cs="仿宋_GB2312"/>
          <w:sz w:val="32"/>
          <w:szCs w:val="32"/>
          <w:shd w:val="clear" w:color="FFFFFF" w:fill="D9D9D9"/>
          <w:lang w:val="en-US" w:eastAsia="zh-CN"/>
        </w:rPr>
        <w:drawing>
          <wp:inline distT="0" distB="0" distL="114300" distR="114300">
            <wp:extent cx="5264785" cy="2439670"/>
            <wp:effectExtent l="0" t="0" r="12065" b="17780"/>
            <wp:docPr id="4" name="图片 4"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
                    <pic:cNvPicPr>
                      <a:picLocks noChangeAspect="1"/>
                    </pic:cNvPicPr>
                  </pic:nvPicPr>
                  <pic:blipFill>
                    <a:blip r:embed="rId7"/>
                    <a:stretch>
                      <a:fillRect/>
                    </a:stretch>
                  </pic:blipFill>
                  <pic:spPr>
                    <a:xfrm>
                      <a:off x="0" y="0"/>
                      <a:ext cx="5264785" cy="2439670"/>
                    </a:xfrm>
                    <a:prstGeom prst="rect">
                      <a:avLst/>
                    </a:prstGeom>
                  </pic:spPr>
                </pic:pic>
              </a:graphicData>
            </a:graphic>
          </wp:inline>
        </w:drawing>
      </w:r>
      <w:r>
        <w:rPr>
          <w:rFonts w:hint="eastAsia" w:ascii="仿宋_GB2312" w:hAnsi="宋体" w:eastAsia="仿宋_GB2312" w:cs="仿宋_GB2312"/>
          <w:sz w:val="32"/>
          <w:szCs w:val="32"/>
          <w:shd w:val="clear" w:color="FFFFFF" w:fill="D9D9D9"/>
          <w:lang w:val="en-US" w:eastAsia="zh-CN"/>
        </w:rPr>
        <w:drawing>
          <wp:inline distT="0" distB="0" distL="114300" distR="114300">
            <wp:extent cx="5265420" cy="1962150"/>
            <wp:effectExtent l="0" t="0" r="11430" b="0"/>
            <wp:docPr id="5" name="图片 5"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4"/>
                    <pic:cNvPicPr>
                      <a:picLocks noChangeAspect="1"/>
                    </pic:cNvPicPr>
                  </pic:nvPicPr>
                  <pic:blipFill>
                    <a:blip r:embed="rId8"/>
                    <a:stretch>
                      <a:fillRect/>
                    </a:stretch>
                  </pic:blipFill>
                  <pic:spPr>
                    <a:xfrm>
                      <a:off x="0" y="0"/>
                      <a:ext cx="5265420" cy="1962150"/>
                    </a:xfrm>
                    <a:prstGeom prst="rect">
                      <a:avLst/>
                    </a:prstGeom>
                  </pic:spPr>
                </pic:pic>
              </a:graphicData>
            </a:graphic>
          </wp:inline>
        </w:drawing>
      </w:r>
      <w:r>
        <w:rPr>
          <w:rFonts w:hint="eastAsia" w:ascii="仿宋_GB2312" w:hAnsi="宋体" w:eastAsia="仿宋_GB2312" w:cs="仿宋_GB2312"/>
          <w:sz w:val="32"/>
          <w:szCs w:val="32"/>
          <w:shd w:val="clear" w:color="FFFFFF" w:fill="D9D9D9"/>
          <w:lang w:val="en-US" w:eastAsia="zh-CN"/>
        </w:rPr>
        <w:drawing>
          <wp:inline distT="0" distB="0" distL="114300" distR="114300">
            <wp:extent cx="5274310" cy="2870835"/>
            <wp:effectExtent l="0" t="0" r="2540" b="5715"/>
            <wp:docPr id="6" name="图片 6"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5"/>
                    <pic:cNvPicPr>
                      <a:picLocks noChangeAspect="1"/>
                    </pic:cNvPicPr>
                  </pic:nvPicPr>
                  <pic:blipFill>
                    <a:blip r:embed="rId9"/>
                    <a:stretch>
                      <a:fillRect/>
                    </a:stretch>
                  </pic:blipFill>
                  <pic:spPr>
                    <a:xfrm>
                      <a:off x="0" y="0"/>
                      <a:ext cx="5274310" cy="2870835"/>
                    </a:xfrm>
                    <a:prstGeom prst="rect">
                      <a:avLst/>
                    </a:prstGeom>
                  </pic:spPr>
                </pic:pic>
              </a:graphicData>
            </a:graphic>
          </wp:inline>
        </w:drawing>
      </w:r>
      <w:r>
        <w:rPr>
          <w:rFonts w:hint="eastAsia" w:ascii="仿宋_GB2312" w:hAnsi="宋体" w:eastAsia="仿宋_GB2312" w:cs="仿宋_GB2312"/>
          <w:sz w:val="32"/>
          <w:szCs w:val="32"/>
          <w:shd w:val="clear" w:color="FFFFFF" w:fill="D9D9D9"/>
          <w:lang w:val="en-US" w:eastAsia="zh-CN"/>
        </w:rPr>
        <w:drawing>
          <wp:inline distT="0" distB="0" distL="114300" distR="114300">
            <wp:extent cx="5270500" cy="3075940"/>
            <wp:effectExtent l="0" t="0" r="6350" b="10160"/>
            <wp:docPr id="7" name="图片 7"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6"/>
                    <pic:cNvPicPr>
                      <a:picLocks noChangeAspect="1"/>
                    </pic:cNvPicPr>
                  </pic:nvPicPr>
                  <pic:blipFill>
                    <a:blip r:embed="rId10"/>
                    <a:stretch>
                      <a:fillRect/>
                    </a:stretch>
                  </pic:blipFill>
                  <pic:spPr>
                    <a:xfrm>
                      <a:off x="0" y="0"/>
                      <a:ext cx="5270500" cy="3075940"/>
                    </a:xfrm>
                    <a:prstGeom prst="rect">
                      <a:avLst/>
                    </a:prstGeom>
                  </pic:spPr>
                </pic:pic>
              </a:graphicData>
            </a:graphic>
          </wp:inline>
        </w:drawing>
      </w:r>
    </w:p>
    <w:p>
      <w:pPr>
        <w:rPr>
          <w:rFonts w:hint="eastAsia" w:ascii="仿宋_GB2312" w:hAnsi="宋体" w:eastAsia="仿宋_GB2312" w:cs="仿宋_GB2312"/>
          <w:sz w:val="32"/>
          <w:szCs w:val="32"/>
          <w:shd w:val="clear" w:color="FFFFFF" w:fill="D9D9D9"/>
          <w:lang w:val="en-US" w:eastAsia="zh-CN"/>
        </w:rPr>
      </w:pPr>
      <w:r>
        <w:rPr>
          <w:rFonts w:hint="eastAsia" w:ascii="仿宋_GB2312" w:hAnsi="宋体" w:eastAsia="仿宋_GB2312" w:cs="仿宋_GB2312"/>
          <w:sz w:val="32"/>
          <w:szCs w:val="32"/>
          <w:shd w:val="clear" w:color="FFFFFF" w:fill="D9D9D9"/>
          <w:lang w:val="en-US" w:eastAsia="zh-CN"/>
        </w:rPr>
        <w:drawing>
          <wp:inline distT="0" distB="0" distL="114300" distR="114300">
            <wp:extent cx="5273675" cy="981710"/>
            <wp:effectExtent l="0" t="0" r="3175" b="8890"/>
            <wp:docPr id="3" name="图片 3" descr="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302"/>
                    <pic:cNvPicPr>
                      <a:picLocks noChangeAspect="1"/>
                    </pic:cNvPicPr>
                  </pic:nvPicPr>
                  <pic:blipFill>
                    <a:blip r:embed="rId11"/>
                    <a:stretch>
                      <a:fillRect/>
                    </a:stretch>
                  </pic:blipFill>
                  <pic:spPr>
                    <a:xfrm>
                      <a:off x="0" y="0"/>
                      <a:ext cx="5273675" cy="981710"/>
                    </a:xfrm>
                    <a:prstGeom prst="rect">
                      <a:avLst/>
                    </a:prstGeom>
                  </pic:spPr>
                </pic:pic>
              </a:graphicData>
            </a:graphic>
          </wp:inline>
        </w:drawing>
      </w:r>
    </w:p>
    <w:p>
      <w:pPr>
        <w:rPr>
          <w:rFonts w:hint="default" w:ascii="仿宋_GB2312" w:hAnsi="宋体" w:eastAsia="仿宋_GB2312" w:cs="仿宋_GB2312"/>
          <w:sz w:val="32"/>
          <w:szCs w:val="32"/>
          <w:shd w:val="clear" w:color="FFFFFF" w:fill="D9D9D9"/>
          <w:lang w:val="en-US" w:eastAsia="zh-CN"/>
        </w:rPr>
      </w:pPr>
      <w:r>
        <w:rPr>
          <w:rFonts w:hint="eastAsia" w:ascii="仿宋_GB2312" w:hAnsi="宋体" w:eastAsia="仿宋_GB2312" w:cs="仿宋_GB2312"/>
          <w:sz w:val="32"/>
          <w:szCs w:val="32"/>
          <w:shd w:val="clear" w:color="FFFFFF" w:fill="D9D9D9"/>
          <w:lang w:val="en-US" w:eastAsia="zh-CN"/>
        </w:rPr>
        <w:drawing>
          <wp:inline distT="0" distB="0" distL="114300" distR="114300">
            <wp:extent cx="5265420" cy="1005205"/>
            <wp:effectExtent l="0" t="0" r="11430" b="4445"/>
            <wp:docPr id="8" name="图片 8"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7"/>
                    <pic:cNvPicPr>
                      <a:picLocks noChangeAspect="1"/>
                    </pic:cNvPicPr>
                  </pic:nvPicPr>
                  <pic:blipFill>
                    <a:blip r:embed="rId12"/>
                    <a:stretch>
                      <a:fillRect/>
                    </a:stretch>
                  </pic:blipFill>
                  <pic:spPr>
                    <a:xfrm>
                      <a:off x="0" y="0"/>
                      <a:ext cx="5265420" cy="1005205"/>
                    </a:xfrm>
                    <a:prstGeom prst="rect">
                      <a:avLst/>
                    </a:prstGeom>
                  </pic:spPr>
                </pic:pic>
              </a:graphicData>
            </a:graphic>
          </wp:inline>
        </w:drawing>
      </w:r>
      <w:r>
        <w:rPr>
          <w:rFonts w:hint="eastAsia" w:ascii="仿宋_GB2312" w:hAnsi="宋体" w:eastAsia="仿宋_GB2312" w:cs="仿宋_GB2312"/>
          <w:sz w:val="32"/>
          <w:szCs w:val="32"/>
          <w:shd w:val="clear" w:color="FFFFFF" w:fill="D9D9D9"/>
          <w:lang w:val="en-US" w:eastAsia="zh-CN"/>
        </w:rPr>
        <w:t xml:space="preserve"> </w:t>
      </w:r>
    </w:p>
    <w:p>
      <w:pPr>
        <w:jc w:val="both"/>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一、收入科目</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各部门结合实际进行解释。</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（一）财政拨款：指</w:t>
      </w:r>
      <w:r>
        <w:rPr>
          <w:rFonts w:hint="eastAsia" w:ascii="仿宋_GB2312" w:eastAsia="仿宋_GB2312"/>
          <w:color w:val="000000"/>
          <w:sz w:val="32"/>
          <w:szCs w:val="30"/>
          <w:lang w:eastAsia="zh-CN"/>
        </w:rPr>
        <w:t>市级</w:t>
      </w:r>
      <w:r>
        <w:rPr>
          <w:rFonts w:hint="eastAsia" w:ascii="仿宋_GB2312" w:eastAsia="仿宋_GB2312"/>
          <w:color w:val="000000"/>
          <w:sz w:val="32"/>
          <w:szCs w:val="30"/>
        </w:rPr>
        <w:t>财政当年拨付的资金。</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（七）用事业基金弥补收支差额：填列事业单位用事业基金弥补2020年收支差额的数额。</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（八）上年结转和结余：填列20</w:t>
      </w:r>
      <w:r>
        <w:rPr>
          <w:rFonts w:hint="eastAsia" w:ascii="仿宋_GB2312" w:eastAsia="仿宋_GB2312"/>
          <w:color w:val="000000"/>
          <w:sz w:val="32"/>
          <w:szCs w:val="30"/>
          <w:lang w:val="en-US" w:eastAsia="zh-CN"/>
        </w:rPr>
        <w:t>20</w:t>
      </w:r>
      <w:r>
        <w:rPr>
          <w:rFonts w:hint="eastAsia" w:ascii="仿宋_GB2312" w:eastAsia="仿宋_GB2312"/>
          <w:color w:val="000000"/>
          <w:sz w:val="32"/>
          <w:szCs w:val="30"/>
        </w:rPr>
        <w:t>年全部结转和结余的资金数，包括当年结转结余资金和历年滚存结转结余资金。</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二、支出科目</w:t>
      </w:r>
    </w:p>
    <w:p>
      <w:pPr>
        <w:widowControl/>
        <w:spacing w:line="580" w:lineRule="exact"/>
        <w:ind w:firstLine="640" w:firstLineChars="200"/>
        <w:jc w:val="left"/>
        <w:rPr>
          <w:rFonts w:hint="eastAsia" w:ascii="仿宋" w:hAnsi="仿宋" w:eastAsia="仿宋" w:cs="仿宋"/>
          <w:kern w:val="0"/>
          <w:sz w:val="32"/>
          <w:szCs w:val="32"/>
          <w:lang w:eastAsia="zh-CN"/>
        </w:rPr>
      </w:pPr>
      <w:r>
        <w:rPr>
          <w:rFonts w:hint="eastAsia" w:ascii="仿宋" w:hAnsi="仿宋" w:eastAsia="仿宋" w:cs="仿宋"/>
          <w:kern w:val="0"/>
          <w:sz w:val="32"/>
          <w:szCs w:val="32"/>
        </w:rPr>
        <w:t>（一）</w:t>
      </w:r>
      <w:r>
        <w:rPr>
          <w:rFonts w:hint="eastAsia" w:ascii="仿宋" w:hAnsi="仿宋" w:eastAsia="仿宋" w:cs="仿宋"/>
          <w:kern w:val="0"/>
          <w:sz w:val="32"/>
          <w:szCs w:val="32"/>
          <w:lang w:eastAsia="zh-CN"/>
        </w:rPr>
        <w:t>文化旅游体育与传媒支出（类）文化和旅游（款）</w:t>
      </w:r>
    </w:p>
    <w:p>
      <w:pPr>
        <w:widowControl/>
        <w:spacing w:line="580" w:lineRule="exact"/>
        <w:ind w:firstLine="640" w:firstLineChars="200"/>
        <w:jc w:val="left"/>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文化和旅游管理事务（项）</w:t>
      </w:r>
      <w:r>
        <w:rPr>
          <w:rFonts w:hint="eastAsia" w:ascii="仿宋" w:hAnsi="仿宋" w:eastAsia="仿宋" w:cs="仿宋"/>
          <w:kern w:val="0"/>
          <w:sz w:val="32"/>
          <w:szCs w:val="32"/>
        </w:rPr>
        <w:t>：</w:t>
      </w:r>
      <w:r>
        <w:rPr>
          <w:rFonts w:hint="eastAsia" w:ascii="仿宋" w:hAnsi="仿宋" w:eastAsia="仿宋" w:cs="仿宋"/>
          <w:kern w:val="0"/>
          <w:sz w:val="32"/>
          <w:szCs w:val="32"/>
          <w:lang w:eastAsia="zh-CN"/>
        </w:rPr>
        <w:t>是指反映文化和旅游管理事务方面的支出。</w:t>
      </w:r>
    </w:p>
    <w:p>
      <w:pPr>
        <w:widowControl/>
        <w:numPr>
          <w:ilvl w:val="0"/>
          <w:numId w:val="3"/>
        </w:numPr>
        <w:spacing w:line="580" w:lineRule="exact"/>
        <w:ind w:firstLine="640" w:firstLineChars="200"/>
        <w:jc w:val="left"/>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社会保障和就业支出（类）行政事业单位养老保险支出（款）</w:t>
      </w:r>
    </w:p>
    <w:p>
      <w:pPr>
        <w:widowControl/>
        <w:spacing w:line="580" w:lineRule="exact"/>
        <w:ind w:firstLine="640" w:firstLineChars="200"/>
        <w:jc w:val="left"/>
        <w:rPr>
          <w:rFonts w:hint="eastAsia" w:ascii="仿宋" w:hAnsi="仿宋" w:eastAsia="仿宋" w:cs="仿宋"/>
          <w:kern w:val="0"/>
          <w:sz w:val="32"/>
          <w:szCs w:val="32"/>
          <w:lang w:eastAsia="zh-CN"/>
        </w:rPr>
      </w:pPr>
      <w:r>
        <w:rPr>
          <w:rFonts w:hint="eastAsia" w:ascii="仿宋" w:hAnsi="仿宋" w:eastAsia="仿宋" w:cs="仿宋"/>
          <w:kern w:val="0"/>
          <w:sz w:val="32"/>
          <w:szCs w:val="32"/>
          <w:lang w:eastAsia="zh-CN"/>
        </w:rPr>
        <w:t>机关事业单位基本养老保险缴费支出（项）</w:t>
      </w:r>
      <w:r>
        <w:rPr>
          <w:rFonts w:hint="eastAsia" w:ascii="仿宋" w:hAnsi="仿宋" w:eastAsia="仿宋" w:cs="仿宋"/>
          <w:kern w:val="0"/>
          <w:sz w:val="32"/>
          <w:szCs w:val="32"/>
        </w:rPr>
        <w:t>：</w:t>
      </w:r>
      <w:r>
        <w:rPr>
          <w:rFonts w:hint="eastAsia" w:ascii="仿宋" w:hAnsi="仿宋" w:eastAsia="仿宋" w:cs="仿宋"/>
          <w:kern w:val="0"/>
          <w:sz w:val="32"/>
          <w:szCs w:val="32"/>
          <w:lang w:eastAsia="zh-CN"/>
        </w:rPr>
        <w:t>是指反映机关事业单位实施养老保险制度由单位缴纳的基本养老保</w:t>
      </w:r>
      <w:bookmarkStart w:id="0" w:name="_GoBack"/>
      <w:bookmarkEnd w:id="0"/>
      <w:r>
        <w:rPr>
          <w:rFonts w:hint="eastAsia" w:ascii="仿宋" w:hAnsi="仿宋" w:eastAsia="仿宋" w:cs="仿宋"/>
          <w:kern w:val="0"/>
          <w:sz w:val="32"/>
          <w:szCs w:val="32"/>
          <w:lang w:eastAsia="zh-CN"/>
        </w:rPr>
        <w:t>险费支出。</w:t>
      </w:r>
    </w:p>
    <w:p>
      <w:pPr>
        <w:widowControl/>
        <w:numPr>
          <w:ilvl w:val="0"/>
          <w:numId w:val="3"/>
        </w:numPr>
        <w:spacing w:line="580" w:lineRule="exact"/>
        <w:ind w:left="0" w:leftChars="0"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lang w:eastAsia="zh-CN"/>
        </w:rPr>
        <w:t>卫生健康支出（类）行政事业单位医疗（款）</w:t>
      </w:r>
    </w:p>
    <w:p>
      <w:pPr>
        <w:widowControl/>
        <w:numPr>
          <w:numId w:val="0"/>
        </w:numPr>
        <w:spacing w:line="580" w:lineRule="exact"/>
        <w:ind w:leftChars="200" w:firstLine="640" w:firstLineChars="200"/>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eastAsia="zh-CN"/>
        </w:rPr>
        <w:t>事业单位医疗（项）：是指反映财政部门安排的事业单位基本医疗保险缴费经费，未参加医疗保险的事业单位的公费医疗经费，按国家规定享受离休人员待</w:t>
      </w:r>
      <w:r>
        <w:rPr>
          <w:rFonts w:hint="eastAsia" w:ascii="仿宋" w:hAnsi="仿宋" w:eastAsia="仿宋" w:cs="仿宋"/>
          <w:kern w:val="0"/>
          <w:sz w:val="32"/>
          <w:szCs w:val="32"/>
          <w:lang w:val="en-US" w:eastAsia="zh-CN"/>
        </w:rPr>
        <w:t>遇的医疗经费。</w:t>
      </w:r>
    </w:p>
    <w:p>
      <w:pPr>
        <w:widowControl/>
        <w:numPr>
          <w:numId w:val="0"/>
        </w:numPr>
        <w:spacing w:line="580" w:lineRule="exact"/>
        <w:ind w:leftChars="200" w:firstLine="640" w:firstLineChars="200"/>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公务员医疗补助（项）：是指反映财政部门安排的公务员医疗补助经费。</w:t>
      </w:r>
    </w:p>
    <w:p>
      <w:pPr>
        <w:widowControl/>
        <w:numPr>
          <w:numId w:val="0"/>
        </w:numPr>
        <w:spacing w:line="580" w:lineRule="exact"/>
        <w:ind w:leftChars="200" w:firstLine="640" w:firstLineChars="200"/>
        <w:jc w:val="left"/>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其他行政事业单位医疗支出（项）：是指反映财政部门集中安排的行政单位基本医疗保险缴费经费，未参加医疗保险的行政单位的公费医疗经费，按国家规定享受离休人员、红军战士</w:t>
      </w:r>
      <w:r>
        <w:rPr>
          <w:rFonts w:hint="eastAsia" w:ascii="仿宋" w:hAnsi="仿宋" w:eastAsia="仿宋" w:cs="仿宋"/>
          <w:kern w:val="0"/>
          <w:sz w:val="32"/>
          <w:szCs w:val="32"/>
          <w:lang w:eastAsia="zh-CN"/>
        </w:rPr>
        <w:t>待</w:t>
      </w:r>
      <w:r>
        <w:rPr>
          <w:rFonts w:hint="eastAsia" w:ascii="仿宋" w:hAnsi="仿宋" w:eastAsia="仿宋" w:cs="仿宋"/>
          <w:kern w:val="0"/>
          <w:sz w:val="32"/>
          <w:szCs w:val="32"/>
          <w:lang w:val="en-US" w:eastAsia="zh-CN"/>
        </w:rPr>
        <w:t>遇人员的医疗经费。</w:t>
      </w:r>
    </w:p>
    <w:p>
      <w:pPr>
        <w:numPr>
          <w:ilvl w:val="0"/>
          <w:numId w:val="3"/>
        </w:numPr>
        <w:ind w:left="0" w:leftChars="0" w:firstLine="640" w:firstLineChars="200"/>
        <w:rPr>
          <w:rFonts w:hint="eastAsia" w:ascii="仿宋" w:hAnsi="仿宋" w:eastAsia="仿宋" w:cs="仿宋"/>
          <w:bCs/>
          <w:sz w:val="32"/>
          <w:szCs w:val="32"/>
        </w:rPr>
      </w:pPr>
      <w:r>
        <w:rPr>
          <w:rFonts w:hint="eastAsia" w:ascii="仿宋" w:hAnsi="仿宋" w:eastAsia="仿宋" w:cs="仿宋"/>
          <w:bCs/>
          <w:sz w:val="32"/>
          <w:szCs w:val="32"/>
          <w:lang w:eastAsia="zh-CN"/>
        </w:rPr>
        <w:t>住房保障支出（类）住房改革支出（款）</w:t>
      </w:r>
    </w:p>
    <w:p>
      <w:pPr>
        <w:numPr>
          <w:numId w:val="0"/>
        </w:numPr>
        <w:ind w:leftChars="200"/>
        <w:rPr>
          <w:rFonts w:hint="default" w:ascii="仿宋" w:hAnsi="仿宋" w:eastAsia="仿宋" w:cs="仿宋"/>
          <w:bCs/>
          <w:sz w:val="32"/>
          <w:szCs w:val="32"/>
          <w:lang w:val="en-US" w:eastAsia="zh-CN"/>
        </w:rPr>
      </w:pPr>
      <w:r>
        <w:rPr>
          <w:rFonts w:hint="eastAsia" w:ascii="仿宋" w:hAnsi="仿宋" w:eastAsia="仿宋" w:cs="仿宋"/>
          <w:bCs/>
          <w:sz w:val="32"/>
          <w:szCs w:val="32"/>
          <w:lang w:val="en-US" w:eastAsia="zh-CN"/>
        </w:rPr>
        <w:t xml:space="preserve">   住房公积金（项）：是指反映行政事业单位按人力资源和社会保障部、财政部规定的基本工资和津贴以及规定比例为职工缴纳的住房公积金。</w:t>
      </w:r>
    </w:p>
    <w:p>
      <w:pPr>
        <w:rPr>
          <w:rFonts w:hint="eastAsia" w:ascii="仿宋" w:hAnsi="仿宋" w:eastAsia="仿宋" w:cs="仿宋"/>
          <w:sz w:val="32"/>
          <w:szCs w:val="32"/>
        </w:rPr>
      </w:pPr>
    </w:p>
    <w:p>
      <w:pPr>
        <w:rPr>
          <w:rFonts w:hint="eastAsia" w:ascii="仿宋" w:hAnsi="仿宋" w:eastAsia="仿宋" w:cs="仿宋"/>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Fonts w:cs="Times New Roman"/>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pPr>
      <w:pStyle w:val="4"/>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BCA9D4"/>
    <w:multiLevelType w:val="singleLevel"/>
    <w:tmpl w:val="EFBCA9D4"/>
    <w:lvl w:ilvl="0" w:tentative="0">
      <w:start w:val="2"/>
      <w:numFmt w:val="chineseCounting"/>
      <w:suff w:val="nothing"/>
      <w:lvlText w:val="（%1）"/>
      <w:lvlJc w:val="left"/>
      <w:rPr>
        <w:rFonts w:hint="eastAsia"/>
      </w:rPr>
    </w:lvl>
  </w:abstractNum>
  <w:abstractNum w:abstractNumId="1">
    <w:nsid w:val="575E707F"/>
    <w:multiLevelType w:val="multilevel"/>
    <w:tmpl w:val="575E707F"/>
    <w:lvl w:ilvl="0" w:tentative="0">
      <w:start w:val="1"/>
      <w:numFmt w:val="japaneseCounting"/>
      <w:lvlText w:val="%1、"/>
      <w:lvlJc w:val="left"/>
      <w:pPr>
        <w:ind w:left="1146" w:hanging="72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2">
    <w:nsid w:val="59A778CA"/>
    <w:multiLevelType w:val="singleLevel"/>
    <w:tmpl w:val="59A778CA"/>
    <w:lvl w:ilvl="0" w:tentative="0">
      <w:start w:val="4"/>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8110CC"/>
    <w:rsid w:val="00C04C9A"/>
    <w:rsid w:val="00CB427A"/>
    <w:rsid w:val="00F500B9"/>
    <w:rsid w:val="01992CBB"/>
    <w:rsid w:val="022502CD"/>
    <w:rsid w:val="042A362D"/>
    <w:rsid w:val="0462041F"/>
    <w:rsid w:val="05743B2E"/>
    <w:rsid w:val="05EB1609"/>
    <w:rsid w:val="06F45244"/>
    <w:rsid w:val="08EE0B31"/>
    <w:rsid w:val="0A326819"/>
    <w:rsid w:val="0B3C618F"/>
    <w:rsid w:val="0CBF216E"/>
    <w:rsid w:val="0CEC1FF0"/>
    <w:rsid w:val="0FCB58D0"/>
    <w:rsid w:val="11427CB1"/>
    <w:rsid w:val="132F3666"/>
    <w:rsid w:val="139E3D52"/>
    <w:rsid w:val="1584011B"/>
    <w:rsid w:val="162B4B72"/>
    <w:rsid w:val="18AC060B"/>
    <w:rsid w:val="19076E1D"/>
    <w:rsid w:val="1EBD751D"/>
    <w:rsid w:val="1F117155"/>
    <w:rsid w:val="204B45CE"/>
    <w:rsid w:val="25705B71"/>
    <w:rsid w:val="2CEB38BE"/>
    <w:rsid w:val="2D0A6426"/>
    <w:rsid w:val="2D4F2EA5"/>
    <w:rsid w:val="2DB9718C"/>
    <w:rsid w:val="2DBB222D"/>
    <w:rsid w:val="2F5C4D9A"/>
    <w:rsid w:val="2F922063"/>
    <w:rsid w:val="31D40AAE"/>
    <w:rsid w:val="33B71927"/>
    <w:rsid w:val="39611391"/>
    <w:rsid w:val="3963428E"/>
    <w:rsid w:val="3BD871B8"/>
    <w:rsid w:val="3CF55A87"/>
    <w:rsid w:val="3DA05E1B"/>
    <w:rsid w:val="429A727D"/>
    <w:rsid w:val="42D269C1"/>
    <w:rsid w:val="45ED1744"/>
    <w:rsid w:val="46F66331"/>
    <w:rsid w:val="47D079F2"/>
    <w:rsid w:val="483C4536"/>
    <w:rsid w:val="4C0B7195"/>
    <w:rsid w:val="4D3B293C"/>
    <w:rsid w:val="4F593F2E"/>
    <w:rsid w:val="51B40312"/>
    <w:rsid w:val="57A14A71"/>
    <w:rsid w:val="57CC144D"/>
    <w:rsid w:val="598A2DDA"/>
    <w:rsid w:val="5CFD50A2"/>
    <w:rsid w:val="61F32950"/>
    <w:rsid w:val="61FC636D"/>
    <w:rsid w:val="62B20F12"/>
    <w:rsid w:val="63023EAE"/>
    <w:rsid w:val="641E7445"/>
    <w:rsid w:val="659F10AA"/>
    <w:rsid w:val="6BF90CF8"/>
    <w:rsid w:val="70F777F9"/>
    <w:rsid w:val="711B258C"/>
    <w:rsid w:val="71452C49"/>
    <w:rsid w:val="73224148"/>
    <w:rsid w:val="776E35B0"/>
    <w:rsid w:val="7B4102B0"/>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8"/>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9"/>
    <w:qFormat/>
    <w:uiPriority w:val="99"/>
    <w:pPr>
      <w:tabs>
        <w:tab w:val="center" w:pos="4153"/>
        <w:tab w:val="right" w:pos="8306"/>
      </w:tabs>
      <w:snapToGrid w:val="0"/>
      <w:jc w:val="left"/>
    </w:pPr>
    <w:rPr>
      <w:sz w:val="18"/>
      <w:szCs w:val="18"/>
    </w:rPr>
  </w:style>
  <w:style w:type="character" w:styleId="7">
    <w:name w:val="page number"/>
    <w:basedOn w:val="6"/>
    <w:qFormat/>
    <w:uiPriority w:val="99"/>
  </w:style>
  <w:style w:type="character" w:customStyle="1" w:styleId="8">
    <w:name w:val="Heading 2 Char"/>
    <w:basedOn w:val="6"/>
    <w:link w:val="2"/>
    <w:semiHidden/>
    <w:qFormat/>
    <w:uiPriority w:val="9"/>
    <w:rPr>
      <w:rFonts w:asciiTheme="majorHAnsi" w:hAnsiTheme="majorHAnsi" w:eastAsiaTheme="majorEastAsia" w:cstheme="majorBidi"/>
      <w:b/>
      <w:bCs/>
      <w:sz w:val="32"/>
      <w:szCs w:val="32"/>
    </w:rPr>
  </w:style>
  <w:style w:type="character" w:customStyle="1" w:styleId="9">
    <w:name w:val="Footer Char"/>
    <w:basedOn w:val="6"/>
    <w:link w:val="4"/>
    <w:semiHidden/>
    <w:qFormat/>
    <w:uiPriority w:val="99"/>
    <w:rPr>
      <w:rFonts w:cs="Calibri"/>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7</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Administrator</cp:lastModifiedBy>
  <cp:lastPrinted>2020-06-02T02:28:00Z</cp:lastPrinted>
  <dcterms:modified xsi:type="dcterms:W3CDTF">2020-06-19T07:07:55Z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